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442F7" w14:textId="3A96B0A4" w:rsidR="0014059F" w:rsidRPr="00BC366D" w:rsidRDefault="0014059F">
      <w:pPr>
        <w:rPr>
          <w:lang w:val="es-MX"/>
        </w:rPr>
      </w:pPr>
      <w:bookmarkStart w:id="0" w:name="_GoBack"/>
      <w:bookmarkEnd w:id="0"/>
    </w:p>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177"/>
        <w:gridCol w:w="7413"/>
      </w:tblGrid>
      <w:tr w:rsidR="0014059F" w:rsidRPr="00D60B86" w14:paraId="04D19647" w14:textId="77777777" w:rsidTr="007448CA">
        <w:trPr>
          <w:trHeight w:val="910"/>
        </w:trPr>
        <w:tc>
          <w:tcPr>
            <w:tcW w:w="1135" w:type="pct"/>
            <w:vAlign w:val="center"/>
          </w:tcPr>
          <w:p w14:paraId="5E49BAF2" w14:textId="77777777" w:rsidR="0014059F" w:rsidRPr="00D60B86" w:rsidRDefault="0014059F" w:rsidP="007448CA">
            <w:pPr>
              <w:rPr>
                <w:rFonts w:ascii="Arial" w:hAnsi="Arial" w:cs="Arial"/>
                <w:b/>
                <w:sz w:val="22"/>
                <w:szCs w:val="22"/>
              </w:rPr>
            </w:pPr>
            <w:r w:rsidRPr="00D60B86">
              <w:rPr>
                <w:rFonts w:ascii="Arial" w:hAnsi="Arial" w:cs="Arial"/>
                <w:b/>
                <w:sz w:val="22"/>
                <w:szCs w:val="22"/>
              </w:rPr>
              <w:t>Descripción corta del bien (descripción general)</w:t>
            </w:r>
          </w:p>
        </w:tc>
        <w:tc>
          <w:tcPr>
            <w:tcW w:w="3865" w:type="pct"/>
            <w:vAlign w:val="center"/>
          </w:tcPr>
          <w:p w14:paraId="4D95BF1D" w14:textId="11E31FCA" w:rsidR="0014059F" w:rsidRPr="00B559B2" w:rsidRDefault="0014059F" w:rsidP="007448CA">
            <w:pPr>
              <w:pStyle w:val="BodyBullet"/>
              <w:framePr w:hSpace="0" w:wrap="auto" w:vAnchor="margin" w:xAlign="left" w:yAlign="inline"/>
              <w:suppressOverlap w:val="0"/>
            </w:pPr>
            <w:r>
              <w:rPr>
                <w:rFonts w:ascii="Calibri" w:hAnsi="Calibri" w:cs="Calibri"/>
                <w:b/>
                <w:sz w:val="22"/>
                <w:szCs w:val="22"/>
              </w:rPr>
              <w:t>PICK UP CHICA, MEDIANA Y GRANDE DOBLE CABINA EQUIPADAS COMO PATRULLA</w:t>
            </w:r>
          </w:p>
        </w:tc>
      </w:tr>
      <w:tr w:rsidR="0014059F" w:rsidRPr="00BC366D" w14:paraId="7A660B69" w14:textId="77777777" w:rsidTr="007448CA">
        <w:trPr>
          <w:trHeight w:val="2826"/>
        </w:trPr>
        <w:tc>
          <w:tcPr>
            <w:tcW w:w="1135" w:type="pct"/>
            <w:vAlign w:val="center"/>
          </w:tcPr>
          <w:p w14:paraId="777ED3FE" w14:textId="77777777" w:rsidR="0014059F" w:rsidRPr="00BC366D" w:rsidRDefault="0014059F" w:rsidP="007448CA">
            <w:pPr>
              <w:rPr>
                <w:rFonts w:ascii="Arial" w:hAnsi="Arial" w:cs="Arial"/>
                <w:b/>
                <w:sz w:val="22"/>
                <w:szCs w:val="22"/>
                <w:lang w:val="es-MX"/>
              </w:rPr>
            </w:pPr>
            <w:r w:rsidRPr="00BC366D">
              <w:rPr>
                <w:rFonts w:ascii="Arial" w:hAnsi="Arial" w:cs="Arial"/>
                <w:b/>
                <w:sz w:val="22"/>
                <w:szCs w:val="22"/>
                <w:lang w:val="es-MX"/>
              </w:rPr>
              <w:t>Descripción larga del bien (Especificaciones técnicas).</w:t>
            </w:r>
          </w:p>
        </w:tc>
        <w:tc>
          <w:tcPr>
            <w:tcW w:w="3865" w:type="pct"/>
          </w:tcPr>
          <w:p w14:paraId="5797ABF0" w14:textId="77777777" w:rsidR="0014059F" w:rsidRDefault="0014059F" w:rsidP="007448CA">
            <w:pPr>
              <w:rPr>
                <w:sz w:val="20"/>
                <w:szCs w:val="20"/>
                <w:lang w:val="es-MX"/>
              </w:rPr>
            </w:pPr>
          </w:p>
          <w:p w14:paraId="49398F5E" w14:textId="77777777" w:rsidR="0014059F" w:rsidRDefault="0014059F" w:rsidP="0014059F">
            <w:pPr>
              <w:jc w:val="both"/>
              <w:rPr>
                <w:rFonts w:ascii="Century Gothic" w:hAnsi="Century Gothic"/>
                <w:b/>
                <w:sz w:val="20"/>
                <w:szCs w:val="20"/>
              </w:rPr>
            </w:pPr>
            <w:r>
              <w:rPr>
                <w:rFonts w:ascii="Century Gothic" w:hAnsi="Century Gothic"/>
                <w:b/>
                <w:sz w:val="20"/>
                <w:szCs w:val="20"/>
              </w:rPr>
              <w:t>Equipamiento:</w:t>
            </w:r>
          </w:p>
          <w:p w14:paraId="403DF3EC"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TORRETA CON TECNOLOGÍA LED</w:t>
            </w:r>
          </w:p>
          <w:p w14:paraId="23C3785B"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Barra de luces (torreta) de un nivel de perfil bajo con tecnología 100% a base de leds.</w:t>
            </w:r>
          </w:p>
          <w:p w14:paraId="1CED09D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Estructura.- base de la torreta en una sola pieza de aluminio extruido.</w:t>
            </w:r>
          </w:p>
          <w:p w14:paraId="4C9E205E"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La base de la torreta soporta todos los componentes de la misma.</w:t>
            </w:r>
          </w:p>
          <w:p w14:paraId="694C8BA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El montaje y sellado de los domos exteriores sobre la base anterior sobre un empaque de poliuretano, para impedir el paso polvo, humedad o cualquier agente externo.</w:t>
            </w:r>
          </w:p>
          <w:p w14:paraId="3895F615"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Cada uno de los domos asegurados a la base por tornillos inoxidables para garantizar que no se desprendan con la presión del aire o la vibración propia de la unidad.</w:t>
            </w:r>
          </w:p>
          <w:p w14:paraId="6C0E65DC"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No se admite la sujeción de los domos con grapas.</w:t>
            </w:r>
          </w:p>
          <w:p w14:paraId="7F6687C7"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Dimensiones máximas: largo: 44”, ancho: 13.5”, alto: 2.5”.</w:t>
            </w:r>
          </w:p>
          <w:p w14:paraId="1B73DBD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Los colores de los domos exteriores de la torreta en color cristal, azul, rojo o negro, con recubrimiento especial dedicado para protección contra rayos uv, decoloración y mayor resistencia a impactos.</w:t>
            </w:r>
          </w:p>
          <w:p w14:paraId="46C5E5BB"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310AFEDE"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Soportes de montaje ajustable de nylon irrompibles y resistentes a la vibración.</w:t>
            </w:r>
          </w:p>
          <w:p w14:paraId="0DE04C8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estándar de 24 meses y 5 años en módulos led.</w:t>
            </w:r>
          </w:p>
          <w:p w14:paraId="70E40A77"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Cumplimiento de la norma internacional SAE J-845.</w:t>
            </w:r>
          </w:p>
          <w:p w14:paraId="77725F01" w14:textId="77777777" w:rsidR="0014059F" w:rsidRDefault="0014059F" w:rsidP="0014059F">
            <w:pPr>
              <w:shd w:val="clear" w:color="auto" w:fill="FFFFFF"/>
              <w:jc w:val="both"/>
              <w:rPr>
                <w:rFonts w:ascii="Century Gothic" w:hAnsi="Century Gothic"/>
                <w:sz w:val="20"/>
                <w:szCs w:val="20"/>
              </w:rPr>
            </w:pPr>
          </w:p>
          <w:p w14:paraId="79B3993A"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CONFIGURACIÓN:</w:t>
            </w:r>
          </w:p>
          <w:p w14:paraId="7A0A4D9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4 Lámparas diagonales - esquineras en los extremos, 2 en color rojo del lado del conductor y 2 en color azul del lado del copiloto, con proyección de luz a 360° para dar cumplimiento a la norma internacional SAE J-845.</w:t>
            </w:r>
          </w:p>
          <w:p w14:paraId="7850708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4 Lámparas direccionales frontales, 2 en color rojo del lado del conductor y 2 en color en color azul del lado de copiloto.</w:t>
            </w:r>
          </w:p>
          <w:p w14:paraId="40F8D11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2 Lámparas de trabajo en color claro o cristal, ubicadas al frente de la torreta, con funcionamiento en forma fija.</w:t>
            </w:r>
          </w:p>
          <w:p w14:paraId="247948A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2 Lámparas laterales callejoneras en color claro o cristal, ubicadas en la parte lateral de la torreta, con funcionamiento fijo e independiente.</w:t>
            </w:r>
          </w:p>
          <w:p w14:paraId="5BE5E3F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1 Barra de tráfico en la parte trasera compuesta de 6 lámparas en color ámbar, con las 4 funciones básicas: izquierda-derecha, derecha-izquierda, centro a los extremos y flasheo.</w:t>
            </w:r>
          </w:p>
          <w:p w14:paraId="1D679A1B"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Total de leds en la torreta mínimo 96 leds.</w:t>
            </w:r>
          </w:p>
          <w:p w14:paraId="2A8FBEB3" w14:textId="77777777" w:rsidR="0014059F" w:rsidRDefault="0014059F" w:rsidP="0014059F">
            <w:pPr>
              <w:shd w:val="clear" w:color="auto" w:fill="FFFFFF"/>
              <w:jc w:val="both"/>
              <w:rPr>
                <w:rFonts w:ascii="Century Gothic" w:hAnsi="Century Gothic"/>
                <w:sz w:val="20"/>
                <w:szCs w:val="20"/>
              </w:rPr>
            </w:pPr>
          </w:p>
          <w:p w14:paraId="6793980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Con las funciones de luz tenue modalidad fija en las 4 lámparas esquineras, así como alta y baja intensidad en todas las lámparas de la torreta excepto las lámparas esquineras, lámparas de trabajo y callejoneras.</w:t>
            </w:r>
          </w:p>
          <w:p w14:paraId="243CAE9F" w14:textId="77777777" w:rsidR="0014059F" w:rsidRDefault="0014059F" w:rsidP="0014059F">
            <w:pPr>
              <w:shd w:val="clear" w:color="auto" w:fill="FFFFFF"/>
              <w:jc w:val="both"/>
              <w:rPr>
                <w:rFonts w:ascii="Century Gothic" w:hAnsi="Century Gothic"/>
                <w:sz w:val="20"/>
                <w:szCs w:val="20"/>
              </w:rPr>
            </w:pPr>
          </w:p>
          <w:p w14:paraId="4703CE52"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FUNCIONES:</w:t>
            </w:r>
          </w:p>
          <w:p w14:paraId="780F015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1.- Intermitencia de la parte frontal de la torreta independiente.</w:t>
            </w:r>
          </w:p>
          <w:p w14:paraId="72B379D6"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2.- Intermitencia de la parte trasera de la torreta independiente.</w:t>
            </w:r>
          </w:p>
          <w:p w14:paraId="6A56041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3.- Al activar las funciones 1 y 2 de manera conjunta, las lámparas de trabajo y callejoneras en automático se accionan en modo flasheo, activando así el modo emergencia de la torreta.</w:t>
            </w:r>
          </w:p>
          <w:p w14:paraId="00E8089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4.- Activación en modo fijo de las lámparas de trabajo.</w:t>
            </w:r>
          </w:p>
          <w:p w14:paraId="609DD2E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5.- Activación en modo fijo de la lámpara callejonera izquierda.</w:t>
            </w:r>
          </w:p>
          <w:p w14:paraId="21B0F08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6.- Activación en modo fijo de la lámpara callejonera derecha.</w:t>
            </w:r>
          </w:p>
          <w:p w14:paraId="1C07BBE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7.- Función de barra de tráfico con direccionamiento derecha-izquierda.</w:t>
            </w:r>
          </w:p>
          <w:p w14:paraId="6FC0D02E"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8.- Función de barra de tráfico con direccionamiento izquierda-derecha.</w:t>
            </w:r>
          </w:p>
          <w:p w14:paraId="52FF5C3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Al activar las funciones 7 y 8, la barra de tráfico en automático realiza direccionamiento centro-extremos.</w:t>
            </w:r>
          </w:p>
          <w:p w14:paraId="2980716F"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9.- Función luz tenue modalidad fija: al no tener ninguna función en operación y activando esta función, en automático las lámparas esquineras se activan en modo luz fija de manera tenue.</w:t>
            </w:r>
          </w:p>
          <w:p w14:paraId="3F8C7A8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10.- Función baja intensidad: al tener activa cualquier función de intermitencia y activando esta función, en automático las lámparas direccionales frontales y traseras reducirán la intensidad de luz.</w:t>
            </w:r>
          </w:p>
          <w:p w14:paraId="0B465B27" w14:textId="77777777" w:rsidR="0014059F" w:rsidRDefault="0014059F" w:rsidP="0014059F">
            <w:pPr>
              <w:shd w:val="clear" w:color="auto" w:fill="FFFFFF"/>
              <w:jc w:val="both"/>
              <w:rPr>
                <w:rFonts w:ascii="Century Gothic" w:hAnsi="Century Gothic"/>
                <w:sz w:val="20"/>
                <w:szCs w:val="20"/>
              </w:rPr>
            </w:pPr>
          </w:p>
          <w:p w14:paraId="2523982C"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SIRENA DE 100/200 WATTS CON CONTROL UNIMANDO:</w:t>
            </w:r>
          </w:p>
          <w:p w14:paraId="6191A1E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2AFC230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Botón o switch de encendido y apagado de señalización o luces.</w:t>
            </w:r>
          </w:p>
          <w:p w14:paraId="25D8D222"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Cumplimiento con la norma internacional SAE J-1849.</w:t>
            </w:r>
          </w:p>
          <w:p w14:paraId="0A022F3B"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10DAABD9" w14:textId="77777777" w:rsidR="0014059F" w:rsidRDefault="0014059F" w:rsidP="0014059F">
            <w:pPr>
              <w:shd w:val="clear" w:color="auto" w:fill="FFFFFF"/>
              <w:jc w:val="both"/>
              <w:rPr>
                <w:rFonts w:ascii="Century Gothic" w:hAnsi="Century Gothic"/>
                <w:sz w:val="20"/>
                <w:szCs w:val="20"/>
              </w:rPr>
            </w:pPr>
          </w:p>
          <w:p w14:paraId="2FFF6D43"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BOCINA DE 100 W DE POTENCIA DE SALIDA.</w:t>
            </w:r>
          </w:p>
          <w:p w14:paraId="750F7D7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Diseño compacto para su instalación en cualquier tipo de vehículo.</w:t>
            </w:r>
          </w:p>
          <w:p w14:paraId="6E4D9ED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Con base nylon para sujeción, resistente a la intemperie, vibración y corrosión.</w:t>
            </w:r>
          </w:p>
          <w:p w14:paraId="32D4738E"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Salida 100 watts.</w:t>
            </w:r>
          </w:p>
          <w:p w14:paraId="1B61DE6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Cumplimiento con la norma internacional SAE J-1849.</w:t>
            </w:r>
          </w:p>
          <w:p w14:paraId="149D409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2 años de garantía.</w:t>
            </w:r>
          </w:p>
          <w:p w14:paraId="6FC4161B" w14:textId="77777777" w:rsidR="0014059F" w:rsidRDefault="0014059F" w:rsidP="0014059F">
            <w:pPr>
              <w:shd w:val="clear" w:color="auto" w:fill="FFFFFF"/>
              <w:jc w:val="both"/>
              <w:rPr>
                <w:rFonts w:ascii="Century Gothic" w:hAnsi="Century Gothic"/>
                <w:sz w:val="20"/>
                <w:szCs w:val="20"/>
              </w:rPr>
            </w:pPr>
          </w:p>
          <w:p w14:paraId="5090F28F"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lastRenderedPageBreak/>
              <w:t>CONSOLA.</w:t>
            </w:r>
          </w:p>
          <w:p w14:paraId="63B62F3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Consola para pick up ergonómicamente colocada fabricada de lámina calibre 16.  Pintura corrugada en color negro resistente a los rayos "UV". En donde se instalen los soportes para el control de sirena, el micrófono de radio.</w:t>
            </w:r>
          </w:p>
          <w:p w14:paraId="5F3F287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14FFB632" w14:textId="77777777" w:rsidR="0014059F" w:rsidRDefault="0014059F" w:rsidP="0014059F">
            <w:pPr>
              <w:shd w:val="clear" w:color="auto" w:fill="FFFFFF"/>
              <w:jc w:val="both"/>
              <w:rPr>
                <w:rFonts w:ascii="Century Gothic" w:hAnsi="Century Gothic"/>
                <w:sz w:val="20"/>
                <w:szCs w:val="20"/>
              </w:rPr>
            </w:pPr>
          </w:p>
          <w:p w14:paraId="30FD5DA7"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TUMBABURRO.</w:t>
            </w:r>
          </w:p>
          <w:p w14:paraId="02FEA012"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Tumbaburros para pick up de placa de acero astm-36-a de ¼" con dos travesaños de tubo de 2" calibre .16 y un travesaño central de lámina de 1/8" de acero, con anclajes de acero de ¼"; reforzados al chasis, con topes de protección de polipropileno de alta densidad en la parte frontal. Anilletes soldados al travesaño inferior fabricados con redondo macizo de ½". Pintura negra semibrillante de poliéster en polvo electrostático, horneado de alta resistencia al impacto y a los rayos UV.</w:t>
            </w:r>
          </w:p>
          <w:p w14:paraId="7D4F823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Fijado e instalado con tornillería de alta resistencia.</w:t>
            </w:r>
          </w:p>
          <w:p w14:paraId="6E427FB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2 cubrefaros en tubular redondo de 1”1/2 PULGADAS CALIBRE 16, pulido, de 3/8 de pulgada como protección</w:t>
            </w:r>
          </w:p>
          <w:p w14:paraId="082AB89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69F877B5" w14:textId="77777777" w:rsidR="0014059F" w:rsidRDefault="0014059F" w:rsidP="0014059F">
            <w:pPr>
              <w:shd w:val="clear" w:color="auto" w:fill="FFFFFF"/>
              <w:jc w:val="both"/>
              <w:rPr>
                <w:rFonts w:ascii="Century Gothic" w:hAnsi="Century Gothic"/>
                <w:sz w:val="20"/>
                <w:szCs w:val="20"/>
              </w:rPr>
            </w:pPr>
          </w:p>
          <w:p w14:paraId="7C154872"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ROLL - BAR 3 ARCOS.</w:t>
            </w:r>
          </w:p>
          <w:p w14:paraId="57893A9E"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 Marco delantero con protector de medallón fabricado con tubo de 1” pulgada, calibre 16 y malla desplegada calibre 16; 4 cuatro tirantes en tubo redondo de 2”1/2 dos y media pulgada calibre 14, para unir los 3 marcos. Estas alturas son del filo de la batea hacia arriba y al paño interior del tubo, con bases de sujeción 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469AAD5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Fijado e instalado con tornillería de alta resistencia.</w:t>
            </w:r>
          </w:p>
          <w:p w14:paraId="36F7E82C"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5F92C177" w14:textId="77777777" w:rsidR="0014059F" w:rsidRDefault="0014059F" w:rsidP="0014059F">
            <w:pPr>
              <w:shd w:val="clear" w:color="auto" w:fill="FFFFFF"/>
              <w:jc w:val="both"/>
              <w:rPr>
                <w:rFonts w:ascii="Century Gothic" w:hAnsi="Century Gothic"/>
                <w:sz w:val="20"/>
                <w:szCs w:val="20"/>
              </w:rPr>
            </w:pPr>
          </w:p>
          <w:p w14:paraId="1C14D823"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LONA PARA ROLL BAR.</w:t>
            </w:r>
          </w:p>
          <w:p w14:paraId="66B46B6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 xml:space="preserve">Material(es): lona, Color (es): azul marino  </w:t>
            </w:r>
          </w:p>
          <w:p w14:paraId="3288A96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Lonas o cubierta para patrulla pick up de poli lona 600 reforzada color azul, sellada a base de costura, con bastilla que serán instaladas en estructura o roll bar.</w:t>
            </w:r>
          </w:p>
          <w:p w14:paraId="3FD7B89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 xml:space="preserve">Deberá tener paredes laterales con 4 ventanas (Dos de cada lado) 2 en plástico de cristal fijas y las otras 2 en plástico cristal y malla sombra, </w:t>
            </w:r>
            <w:r>
              <w:rPr>
                <w:rFonts w:ascii="Century Gothic" w:hAnsi="Century Gothic"/>
                <w:sz w:val="20"/>
                <w:szCs w:val="20"/>
              </w:rPr>
              <w:lastRenderedPageBreak/>
              <w:t>ventana delantera en plástico cristal y ventana trasera con plástico cristal y tiras de ojillos en parte inferior para amarre a estructura, cierres laterales para subir y bajar las ventanas laterales y trasera, así como contactel en ventanas.</w:t>
            </w:r>
          </w:p>
          <w:p w14:paraId="51D199CD"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La lona tiene resistencia a una tensión de 130 LB/PULG</w:t>
            </w:r>
          </w:p>
          <w:p w14:paraId="71062D9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Protección UV (rayos del sol) para evitar decoloración.</w:t>
            </w:r>
          </w:p>
          <w:p w14:paraId="15106EE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Resistente al Agua.</w:t>
            </w:r>
          </w:p>
          <w:p w14:paraId="327A398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Compuesta de poliéster y pvc.</w:t>
            </w:r>
          </w:p>
          <w:p w14:paraId="15FCD13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La lona debe cubrir parte superior, delantera, y laterales.</w:t>
            </w:r>
          </w:p>
          <w:p w14:paraId="1EF24202"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mínimo de dos años.</w:t>
            </w:r>
          </w:p>
          <w:p w14:paraId="4EDB0E35" w14:textId="77777777" w:rsidR="0014059F" w:rsidRDefault="0014059F" w:rsidP="0014059F">
            <w:pPr>
              <w:shd w:val="clear" w:color="auto" w:fill="FFFFFF"/>
              <w:jc w:val="both"/>
              <w:rPr>
                <w:rFonts w:ascii="Century Gothic" w:hAnsi="Century Gothic"/>
                <w:sz w:val="20"/>
                <w:szCs w:val="20"/>
              </w:rPr>
            </w:pPr>
          </w:p>
          <w:p w14:paraId="44BCEC08" w14:textId="77777777" w:rsidR="0014059F" w:rsidRDefault="0014059F" w:rsidP="0014059F">
            <w:pPr>
              <w:shd w:val="clear" w:color="auto" w:fill="FFFFFF"/>
              <w:jc w:val="both"/>
              <w:rPr>
                <w:rFonts w:ascii="Century Gothic" w:hAnsi="Century Gothic"/>
                <w:sz w:val="20"/>
                <w:szCs w:val="20"/>
              </w:rPr>
            </w:pPr>
            <w:r>
              <w:rPr>
                <w:rFonts w:ascii="Century Gothic" w:hAnsi="Century Gothic"/>
                <w:b/>
                <w:sz w:val="20"/>
                <w:szCs w:val="20"/>
              </w:rPr>
              <w:t>BANCA CENTRAL CON RESPALDO Y PORTA ESPOSAS</w:t>
            </w:r>
            <w:r>
              <w:rPr>
                <w:rFonts w:ascii="Century Gothic" w:hAnsi="Century Gothic"/>
                <w:sz w:val="20"/>
                <w:szCs w:val="20"/>
              </w:rPr>
              <w:t>.</w:t>
            </w:r>
          </w:p>
          <w:p w14:paraId="1EB7D48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 xml:space="preserve">Medidas generales de acuerdo a la marca y modelo del vehículo ofertado, fabricada con tubo redondo de 1 ¼" y de 1" calibre 16. </w:t>
            </w:r>
            <w:r>
              <w:rPr>
                <w:rFonts w:ascii="Century Gothic" w:hAnsi="Century Gothic"/>
                <w:sz w:val="20"/>
                <w:szCs w:val="20"/>
              </w:rPr>
              <w:tab/>
            </w:r>
          </w:p>
          <w:p w14:paraId="0D6064C2"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El asiento y el respaldo son de lámina de 1/16" barrenada con hoyos de 900 milésimas de pulgada de diámetro dejando sin barrenar la zona de soldar a la estructura tubular.</w:t>
            </w:r>
          </w:p>
          <w:p w14:paraId="46061EAC"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Un porta esposas a lo largo de la banca en tubular redondo de 1" calibre 16.</w:t>
            </w:r>
          </w:p>
          <w:p w14:paraId="73D38F2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Pintura negra semibrillante en poliéster electroestática en polvo de alta resistencia al impacto y a los rayos UV.</w:t>
            </w:r>
          </w:p>
          <w:p w14:paraId="1628209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Fijado e instalado con tornillería de alta resistencia.</w:t>
            </w:r>
          </w:p>
          <w:p w14:paraId="1C761A2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Garantías de 2 años.</w:t>
            </w:r>
          </w:p>
          <w:p w14:paraId="79D5AB25" w14:textId="77777777" w:rsidR="0014059F" w:rsidRDefault="0014059F" w:rsidP="0014059F">
            <w:pPr>
              <w:shd w:val="clear" w:color="auto" w:fill="FFFFFF"/>
              <w:jc w:val="both"/>
              <w:rPr>
                <w:rFonts w:ascii="Century Gothic" w:hAnsi="Century Gothic"/>
                <w:sz w:val="20"/>
                <w:szCs w:val="20"/>
              </w:rPr>
            </w:pPr>
          </w:p>
          <w:p w14:paraId="1513A301"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 xml:space="preserve">DEFENSA TRASERA TIPO ESCALÓN </w:t>
            </w:r>
          </w:p>
          <w:p w14:paraId="2D611AE2"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Tipo escalón fabricada con lamina antiderrapante calibre 14 con soportes de PTR de 1 ¼" calibre 14 y sujetada con tornillos de ½". Pintura negra semibrillante en poliéster electroestática en polvo de alta resistencia al impacto y a los rayos UV.</w:t>
            </w:r>
          </w:p>
          <w:p w14:paraId="01510874"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Fijada e instalada con tornillería de alta resistencia.</w:t>
            </w:r>
          </w:p>
          <w:p w14:paraId="1CBDEE0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3D6182F9" w14:textId="77777777" w:rsidR="0014059F" w:rsidRDefault="0014059F" w:rsidP="0014059F">
            <w:pPr>
              <w:shd w:val="clear" w:color="auto" w:fill="FFFFFF"/>
              <w:jc w:val="both"/>
              <w:rPr>
                <w:rFonts w:ascii="Century Gothic" w:hAnsi="Century Gothic"/>
                <w:sz w:val="20"/>
                <w:szCs w:val="20"/>
              </w:rPr>
            </w:pPr>
          </w:p>
          <w:p w14:paraId="60EA562C"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GANCHO DE ARRASTRE TRASERO</w:t>
            </w:r>
          </w:p>
          <w:p w14:paraId="18F8B1B3"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17C5E018"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Fijado e instalado con tornillería de alta resistencia.</w:t>
            </w:r>
          </w:p>
          <w:p w14:paraId="1D32B7D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de 2 años.</w:t>
            </w:r>
          </w:p>
          <w:p w14:paraId="3DC257CA" w14:textId="77777777" w:rsidR="0014059F" w:rsidRDefault="0014059F" w:rsidP="0014059F">
            <w:pPr>
              <w:shd w:val="clear" w:color="auto" w:fill="FFFFFF"/>
              <w:jc w:val="both"/>
              <w:rPr>
                <w:rFonts w:ascii="Century Gothic" w:hAnsi="Century Gothic"/>
                <w:sz w:val="20"/>
                <w:szCs w:val="20"/>
              </w:rPr>
            </w:pPr>
          </w:p>
          <w:p w14:paraId="63AEC72F"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RADIO</w:t>
            </w:r>
          </w:p>
          <w:p w14:paraId="431C380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Debe incluir radio móvil de comunicación con instalación (compatible con sistema de comunicación estatal).</w:t>
            </w:r>
          </w:p>
          <w:p w14:paraId="2C9D67B7"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Garantía mínima de 1 año.</w:t>
            </w:r>
          </w:p>
          <w:p w14:paraId="2DA099CB" w14:textId="77777777" w:rsidR="0014059F" w:rsidRDefault="0014059F" w:rsidP="0014059F">
            <w:pPr>
              <w:shd w:val="clear" w:color="auto" w:fill="FFFFFF"/>
              <w:jc w:val="both"/>
              <w:rPr>
                <w:rFonts w:ascii="Century Gothic" w:hAnsi="Century Gothic"/>
                <w:sz w:val="20"/>
                <w:szCs w:val="20"/>
              </w:rPr>
            </w:pPr>
          </w:p>
          <w:p w14:paraId="0538D113" w14:textId="77777777" w:rsidR="0014059F" w:rsidRDefault="0014059F" w:rsidP="0014059F">
            <w:pPr>
              <w:shd w:val="clear" w:color="auto" w:fill="FFFFFF"/>
              <w:jc w:val="both"/>
              <w:rPr>
                <w:rFonts w:ascii="Century Gothic" w:hAnsi="Century Gothic"/>
                <w:b/>
                <w:sz w:val="20"/>
                <w:szCs w:val="20"/>
              </w:rPr>
            </w:pPr>
            <w:r>
              <w:rPr>
                <w:rFonts w:ascii="Century Gothic" w:hAnsi="Century Gothic"/>
                <w:b/>
                <w:sz w:val="20"/>
                <w:szCs w:val="20"/>
              </w:rPr>
              <w:t>Condiciones especiales</w:t>
            </w:r>
          </w:p>
          <w:p w14:paraId="6FB96E96"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lastRenderedPageBreak/>
              <w:t>•</w:t>
            </w:r>
            <w:r>
              <w:rPr>
                <w:rFonts w:ascii="Century Gothic" w:hAnsi="Century Gothic"/>
                <w:sz w:val="20"/>
                <w:szCs w:val="20"/>
              </w:rPr>
              <w:tab/>
              <w:t>Pintura a puerta abierta y balizamiento de acuerdo a manual de identidad de gobierno del estado y sus municipios.</w:t>
            </w:r>
          </w:p>
          <w:p w14:paraId="37D4628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Cuenta con todos los elementos necesarios para la instalación de los equipos y mantener la garantía del fabricante.</w:t>
            </w:r>
          </w:p>
          <w:p w14:paraId="69D4E6C7"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Cuenta con todo lo necesario para la instalación eléctrica y suficiente capacidad para recibir los equipos electrónicos que se incorporen.</w:t>
            </w:r>
          </w:p>
          <w:p w14:paraId="27A6454C"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Garantía de 2 años o 60,000 kilómetros.</w:t>
            </w:r>
          </w:p>
          <w:p w14:paraId="30BD48C1"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Las llantas de refacción son del mismo tamaño que las de la unidad, además cuenta con kit de herramienta (al menos cable pasa corriente, extintor, gato acorde a las dimensiones y peso de las unidades, cruceta o manivela, desarmadores, pinzas, reflejantes).</w:t>
            </w:r>
          </w:p>
          <w:p w14:paraId="689CED47"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Tanque lleno de combustible.</w:t>
            </w:r>
          </w:p>
          <w:p w14:paraId="67479C79"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Tornillería para la instalación de placas.</w:t>
            </w:r>
          </w:p>
          <w:p w14:paraId="414ACC70"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Plena identificación del vehículo con su juego de llaves.</w:t>
            </w:r>
          </w:p>
          <w:p w14:paraId="6D91AF8A" w14:textId="77777777" w:rsidR="0014059F" w:rsidRDefault="0014059F" w:rsidP="0014059F">
            <w:pPr>
              <w:shd w:val="clear" w:color="auto" w:fill="FFFFFF"/>
              <w:jc w:val="both"/>
              <w:rPr>
                <w:rFonts w:ascii="Century Gothic" w:hAnsi="Century Gothic"/>
                <w:sz w:val="20"/>
                <w:szCs w:val="20"/>
              </w:rPr>
            </w:pPr>
            <w:r>
              <w:rPr>
                <w:rFonts w:ascii="Century Gothic" w:hAnsi="Century Gothic"/>
                <w:sz w:val="20"/>
                <w:szCs w:val="20"/>
              </w:rPr>
              <w:t>•</w:t>
            </w:r>
            <w:r>
              <w:rPr>
                <w:rFonts w:ascii="Century Gothic" w:hAnsi="Century Gothic"/>
                <w:sz w:val="20"/>
                <w:szCs w:val="20"/>
              </w:rPr>
              <w:tab/>
              <w:t>La instalación y adaptación del equipamiento deberá cumplir con lo establecido en el Anexo L  Instalación Eléctrica.</w:t>
            </w:r>
          </w:p>
          <w:p w14:paraId="3C65D9CA" w14:textId="768989E2" w:rsidR="0014059F" w:rsidRPr="0005235C" w:rsidRDefault="0014059F" w:rsidP="0014059F">
            <w:pPr>
              <w:pStyle w:val="Prrafodelista"/>
              <w:widowControl w:val="0"/>
              <w:shd w:val="clear" w:color="auto" w:fill="FFFFFF"/>
              <w:autoSpaceDE w:val="0"/>
              <w:autoSpaceDN w:val="0"/>
              <w:jc w:val="both"/>
              <w:rPr>
                <w:rFonts w:ascii="Century Gothic" w:hAnsi="Century Gothic"/>
                <w:color w:val="222222"/>
                <w:sz w:val="20"/>
                <w:szCs w:val="20"/>
                <w:lang w:eastAsia="es-MX"/>
              </w:rPr>
            </w:pPr>
          </w:p>
          <w:p w14:paraId="2A60E1DE" w14:textId="77777777" w:rsidR="0014059F" w:rsidRPr="00AA17D3" w:rsidRDefault="0014059F" w:rsidP="007448CA">
            <w:pPr>
              <w:contextualSpacing/>
              <w:jc w:val="both"/>
              <w:rPr>
                <w:rFonts w:ascii="Century Gothic" w:hAnsi="Century Gothic"/>
              </w:rPr>
            </w:pPr>
          </w:p>
          <w:p w14:paraId="61C5C010" w14:textId="77777777" w:rsidR="0014059F" w:rsidRPr="00BC366D" w:rsidRDefault="0014059F" w:rsidP="007448CA">
            <w:pPr>
              <w:pStyle w:val="Prrafodelista"/>
              <w:ind w:left="0"/>
            </w:pPr>
          </w:p>
        </w:tc>
      </w:tr>
    </w:tbl>
    <w:p w14:paraId="286E7BB6" w14:textId="7DAE4CC6" w:rsidR="00864F59" w:rsidRPr="00BC366D" w:rsidRDefault="00864F59">
      <w:pPr>
        <w:rPr>
          <w:lang w:val="es-MX"/>
        </w:rPr>
      </w:pPr>
    </w:p>
    <w:sectPr w:rsidR="00864F59" w:rsidRPr="00BC366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F2E72" w14:textId="77777777" w:rsidR="00A21A6D" w:rsidRDefault="00A21A6D" w:rsidP="009D2D75">
      <w:r>
        <w:separator/>
      </w:r>
    </w:p>
  </w:endnote>
  <w:endnote w:type="continuationSeparator" w:id="0">
    <w:p w14:paraId="3901EE03" w14:textId="77777777" w:rsidR="00A21A6D" w:rsidRDefault="00A21A6D"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Ottaw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7B44A7E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E34A4E">
              <w:rPr>
                <w:b/>
                <w:bCs/>
                <w:noProof/>
              </w:rPr>
              <w:t>5</w:t>
            </w:r>
            <w:r>
              <w:rPr>
                <w:b/>
                <w:bCs/>
              </w:rPr>
              <w:fldChar w:fldCharType="end"/>
            </w:r>
            <w:r>
              <w:t xml:space="preserve"> de </w:t>
            </w:r>
            <w:r>
              <w:rPr>
                <w:b/>
                <w:bCs/>
              </w:rPr>
              <w:fldChar w:fldCharType="begin"/>
            </w:r>
            <w:r>
              <w:rPr>
                <w:b/>
                <w:bCs/>
              </w:rPr>
              <w:instrText>NUMPAGES</w:instrText>
            </w:r>
            <w:r>
              <w:rPr>
                <w:b/>
                <w:bCs/>
              </w:rPr>
              <w:fldChar w:fldCharType="separate"/>
            </w:r>
            <w:r w:rsidR="00E34A4E">
              <w:rPr>
                <w:b/>
                <w:bCs/>
                <w:noProof/>
              </w:rPr>
              <w:t>5</w:t>
            </w:r>
            <w:r>
              <w:rPr>
                <w:b/>
                <w:bCs/>
              </w:rPr>
              <w:fldChar w:fldCharType="end"/>
            </w:r>
          </w:p>
        </w:sdtContent>
      </w:sdt>
    </w:sdtContent>
  </w:sdt>
  <w:p w14:paraId="13EA6C0A" w14:textId="77777777" w:rsidR="009D2D75" w:rsidRDefault="009D2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A9098" w14:textId="77777777" w:rsidR="00A21A6D" w:rsidRDefault="00A21A6D" w:rsidP="009D2D75">
      <w:r>
        <w:separator/>
      </w:r>
    </w:p>
  </w:footnote>
  <w:footnote w:type="continuationSeparator" w:id="0">
    <w:p w14:paraId="577C8204" w14:textId="77777777" w:rsidR="00A21A6D" w:rsidRDefault="00A21A6D"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AC85E57" w14:textId="77777777" w:rsidTr="009D2D75">
      <w:trPr>
        <w:trHeight w:val="786"/>
      </w:trPr>
      <w:tc>
        <w:tcPr>
          <w:tcW w:w="9475" w:type="dxa"/>
          <w:tcBorders>
            <w:bottom w:val="single" w:sz="4" w:space="0" w:color="auto"/>
          </w:tcBorders>
        </w:tcPr>
        <w:p w14:paraId="5A50F76E" w14:textId="1E020233" w:rsidR="009D2D75" w:rsidRPr="00566E6E" w:rsidRDefault="009D2D75" w:rsidP="009D2D75">
          <w:pPr>
            <w:pStyle w:val="Encabezado"/>
            <w:rPr>
              <w:rFonts w:ascii="Univers Condensed" w:hAnsi="Univers Condensed"/>
              <w:b/>
              <w:color w:val="333399"/>
            </w:rPr>
          </w:pPr>
        </w:p>
        <w:p w14:paraId="7DA42A91" w14:textId="02C3D6C1" w:rsidR="009D2D75" w:rsidRDefault="005913E6" w:rsidP="005913E6">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86124D">
            <w:rPr>
              <w:rFonts w:ascii="Univers Condensed" w:hAnsi="Univers Condensed"/>
              <w:b/>
              <w:color w:val="333399"/>
              <w:sz w:val="28"/>
              <w:szCs w:val="28"/>
            </w:rPr>
            <w:t xml:space="preserve"> I-</w:t>
          </w:r>
          <w:r w:rsidR="00EE4545">
            <w:rPr>
              <w:rFonts w:ascii="Univers Condensed" w:hAnsi="Univers Condensed"/>
              <w:b/>
              <w:color w:val="333399"/>
              <w:sz w:val="28"/>
              <w:szCs w:val="28"/>
            </w:rPr>
            <w:t>D</w:t>
          </w:r>
        </w:p>
        <w:p w14:paraId="6F3120E8" w14:textId="532AA595" w:rsidR="0086124D" w:rsidRPr="00CB39B2" w:rsidRDefault="0086124D" w:rsidP="00EE4545">
          <w:pPr>
            <w:pStyle w:val="Encabezado"/>
            <w:jc w:val="center"/>
            <w:rPr>
              <w:sz w:val="28"/>
              <w:szCs w:val="28"/>
            </w:rPr>
          </w:pPr>
          <w:r>
            <w:rPr>
              <w:rFonts w:ascii="Univers Condensed" w:hAnsi="Univers Condensed"/>
              <w:b/>
              <w:color w:val="333399"/>
              <w:sz w:val="28"/>
              <w:szCs w:val="28"/>
            </w:rPr>
            <w:t>PARTIDA</w:t>
          </w:r>
          <w:r w:rsidR="008E17E2">
            <w:rPr>
              <w:rFonts w:ascii="Univers Condensed" w:hAnsi="Univers Condensed"/>
              <w:b/>
              <w:color w:val="333399"/>
              <w:sz w:val="28"/>
              <w:szCs w:val="28"/>
            </w:rPr>
            <w:t>S</w:t>
          </w:r>
          <w:r>
            <w:rPr>
              <w:rFonts w:ascii="Univers Condensed" w:hAnsi="Univers Condensed"/>
              <w:b/>
              <w:color w:val="333399"/>
              <w:sz w:val="28"/>
              <w:szCs w:val="28"/>
            </w:rPr>
            <w:t xml:space="preserve"> </w:t>
          </w:r>
          <w:r w:rsidR="00EE4545">
            <w:rPr>
              <w:rFonts w:ascii="Univers Condensed" w:hAnsi="Univers Condensed"/>
              <w:b/>
              <w:color w:val="333399"/>
              <w:sz w:val="28"/>
              <w:szCs w:val="28"/>
            </w:rPr>
            <w:t>9</w:t>
          </w:r>
          <w:r w:rsidR="008E17E2">
            <w:rPr>
              <w:rFonts w:ascii="Univers Condensed" w:hAnsi="Univers Condensed"/>
              <w:b/>
              <w:color w:val="333399"/>
              <w:sz w:val="28"/>
              <w:szCs w:val="28"/>
            </w:rPr>
            <w:t>, 10 Y 11</w:t>
          </w:r>
        </w:p>
      </w:tc>
    </w:tr>
    <w:tr w:rsidR="009D2D75" w:rsidRPr="009C1016" w14:paraId="1153F313" w14:textId="77777777" w:rsidTr="009D2D75">
      <w:trPr>
        <w:trHeight w:val="174"/>
      </w:trPr>
      <w:tc>
        <w:tcPr>
          <w:tcW w:w="9475" w:type="dxa"/>
          <w:tcBorders>
            <w:top w:val="single" w:sz="4" w:space="0" w:color="auto"/>
            <w:bottom w:val="single" w:sz="4" w:space="0" w:color="auto"/>
          </w:tcBorders>
          <w:shd w:val="clear" w:color="auto" w:fill="800080"/>
          <w:vAlign w:val="center"/>
        </w:tcPr>
        <w:p w14:paraId="03D80567"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0D374D7" w14:textId="77777777" w:rsidTr="009D2D75">
      <w:trPr>
        <w:trHeight w:val="373"/>
      </w:trPr>
      <w:tc>
        <w:tcPr>
          <w:tcW w:w="9475" w:type="dxa"/>
          <w:tcBorders>
            <w:top w:val="single" w:sz="4" w:space="0" w:color="auto"/>
          </w:tcBorders>
          <w:vAlign w:val="center"/>
        </w:tcPr>
        <w:p w14:paraId="5CA0CB49" w14:textId="269FBBC1" w:rsidR="009D2D75" w:rsidRDefault="005913E6" w:rsidP="009D2D75">
          <w:pPr>
            <w:ind w:left="422"/>
            <w:jc w:val="center"/>
            <w:rPr>
              <w:rFonts w:ascii="Calibri" w:hAnsi="Calibri" w:cs="Calibri"/>
              <w:b/>
              <w:color w:val="000000"/>
              <w:sz w:val="22"/>
              <w:szCs w:val="22"/>
            </w:rPr>
          </w:pPr>
          <w:r>
            <w:rPr>
              <w:rFonts w:ascii="Calibri" w:hAnsi="Calibri" w:cs="Calibri"/>
              <w:b/>
              <w:color w:val="000000"/>
              <w:sz w:val="22"/>
              <w:szCs w:val="22"/>
            </w:rPr>
            <w:t>EQUIPAMIENTO</w:t>
          </w:r>
          <w:r w:rsidR="00CD37A9">
            <w:rPr>
              <w:rFonts w:ascii="Calibri" w:hAnsi="Calibri" w:cs="Calibri"/>
              <w:b/>
              <w:color w:val="000000"/>
              <w:sz w:val="22"/>
              <w:szCs w:val="22"/>
            </w:rPr>
            <w:t xml:space="preserve"> PICK UP</w:t>
          </w:r>
        </w:p>
        <w:p w14:paraId="1FA38FE1" w14:textId="5482CA58" w:rsidR="009D2D75" w:rsidRPr="00B232A7" w:rsidRDefault="00EE4545" w:rsidP="00E939E5">
          <w:pPr>
            <w:ind w:left="422"/>
            <w:jc w:val="center"/>
            <w:rPr>
              <w:rFonts w:ascii="Calibri" w:hAnsi="Calibri" w:cs="Calibri"/>
              <w:b/>
              <w:color w:val="000000"/>
              <w:sz w:val="22"/>
              <w:szCs w:val="22"/>
            </w:rPr>
          </w:pPr>
          <w:r>
            <w:rPr>
              <w:rFonts w:ascii="Calibri" w:hAnsi="Calibri" w:cs="Calibri"/>
              <w:b/>
              <w:color w:val="000000"/>
              <w:sz w:val="22"/>
              <w:szCs w:val="22"/>
            </w:rPr>
            <w:t>PICK UP EQUIPADAS COMO PATRULLA</w:t>
          </w:r>
        </w:p>
      </w:tc>
    </w:tr>
  </w:tbl>
  <w:p w14:paraId="73F74D3C" w14:textId="77777777" w:rsidR="00B077DA" w:rsidRDefault="00B07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262E5B"/>
    <w:multiLevelType w:val="hybridMultilevel"/>
    <w:tmpl w:val="47946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602658"/>
    <w:multiLevelType w:val="multilevel"/>
    <w:tmpl w:val="F96E8F3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B63383B"/>
    <w:multiLevelType w:val="hybridMultilevel"/>
    <w:tmpl w:val="CBCC0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14D3232"/>
    <w:multiLevelType w:val="hybridMultilevel"/>
    <w:tmpl w:val="EF74E44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503C"/>
    <w:rsid w:val="000633CD"/>
    <w:rsid w:val="00065F07"/>
    <w:rsid w:val="000941B6"/>
    <w:rsid w:val="000F1AFB"/>
    <w:rsid w:val="0013235A"/>
    <w:rsid w:val="0014059F"/>
    <w:rsid w:val="00141617"/>
    <w:rsid w:val="002137FB"/>
    <w:rsid w:val="00230B85"/>
    <w:rsid w:val="00240B7F"/>
    <w:rsid w:val="00246C46"/>
    <w:rsid w:val="0031524F"/>
    <w:rsid w:val="003502AB"/>
    <w:rsid w:val="00353924"/>
    <w:rsid w:val="00403316"/>
    <w:rsid w:val="00465A0B"/>
    <w:rsid w:val="00496EFD"/>
    <w:rsid w:val="004C2554"/>
    <w:rsid w:val="00503477"/>
    <w:rsid w:val="00526EE4"/>
    <w:rsid w:val="005913E6"/>
    <w:rsid w:val="0066431B"/>
    <w:rsid w:val="006F5B56"/>
    <w:rsid w:val="006F5EE4"/>
    <w:rsid w:val="007C42F0"/>
    <w:rsid w:val="007C5243"/>
    <w:rsid w:val="007E67C8"/>
    <w:rsid w:val="00811447"/>
    <w:rsid w:val="00830887"/>
    <w:rsid w:val="0086124D"/>
    <w:rsid w:val="00864F59"/>
    <w:rsid w:val="008B4F8C"/>
    <w:rsid w:val="008E17E2"/>
    <w:rsid w:val="00960BD3"/>
    <w:rsid w:val="0097767E"/>
    <w:rsid w:val="00977F77"/>
    <w:rsid w:val="009B22A9"/>
    <w:rsid w:val="009D2D75"/>
    <w:rsid w:val="00A1045B"/>
    <w:rsid w:val="00A171A6"/>
    <w:rsid w:val="00A20ABF"/>
    <w:rsid w:val="00A21A6D"/>
    <w:rsid w:val="00B077DA"/>
    <w:rsid w:val="00B10475"/>
    <w:rsid w:val="00B6547A"/>
    <w:rsid w:val="00B96D34"/>
    <w:rsid w:val="00BB38B1"/>
    <w:rsid w:val="00BC366D"/>
    <w:rsid w:val="00C81F71"/>
    <w:rsid w:val="00CB7DE4"/>
    <w:rsid w:val="00CC7B89"/>
    <w:rsid w:val="00CD37A9"/>
    <w:rsid w:val="00D96B4A"/>
    <w:rsid w:val="00DA5862"/>
    <w:rsid w:val="00DE677B"/>
    <w:rsid w:val="00DE7C35"/>
    <w:rsid w:val="00E34A4E"/>
    <w:rsid w:val="00E42A02"/>
    <w:rsid w:val="00E66C02"/>
    <w:rsid w:val="00E939E5"/>
    <w:rsid w:val="00E9620B"/>
    <w:rsid w:val="00EE4545"/>
    <w:rsid w:val="00EF2BBF"/>
    <w:rsid w:val="00F76E72"/>
    <w:rsid w:val="00F77033"/>
    <w:rsid w:val="00FA0064"/>
    <w:rsid w:val="00FA6A46"/>
    <w:rsid w:val="00FC6C27"/>
    <w:rsid w:val="00FD2EE0"/>
    <w:rsid w:val="00FD61AD"/>
    <w:rsid w:val="00FD6DE3"/>
    <w:rsid w:val="00FF4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9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59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59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1"/>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 w:type="paragraph" w:styleId="Textoindependiente">
    <w:name w:val="Body Text"/>
    <w:basedOn w:val="Normal"/>
    <w:link w:val="TextoindependienteCar"/>
    <w:uiPriority w:val="99"/>
    <w:semiHidden/>
    <w:unhideWhenUsed/>
    <w:rsid w:val="00B077DA"/>
    <w:pPr>
      <w:spacing w:after="120"/>
    </w:pPr>
  </w:style>
  <w:style w:type="character" w:customStyle="1" w:styleId="TextoindependienteCar">
    <w:name w:val="Texto independiente Car"/>
    <w:basedOn w:val="Fuentedeprrafopredeter"/>
    <w:link w:val="Textoindependiente"/>
    <w:uiPriority w:val="99"/>
    <w:semiHidden/>
    <w:rsid w:val="00B077D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03786">
      <w:bodyDiv w:val="1"/>
      <w:marLeft w:val="0"/>
      <w:marRight w:val="0"/>
      <w:marTop w:val="0"/>
      <w:marBottom w:val="0"/>
      <w:divBdr>
        <w:top w:val="none" w:sz="0" w:space="0" w:color="auto"/>
        <w:left w:val="none" w:sz="0" w:space="0" w:color="auto"/>
        <w:bottom w:val="none" w:sz="0" w:space="0" w:color="auto"/>
        <w:right w:val="none" w:sz="0" w:space="0" w:color="auto"/>
      </w:divBdr>
    </w:div>
    <w:div w:id="14131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1561</Words>
  <Characters>8590</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10</cp:revision>
  <cp:lastPrinted>2023-05-04T15:35:00Z</cp:lastPrinted>
  <dcterms:created xsi:type="dcterms:W3CDTF">2023-06-22T20:26:00Z</dcterms:created>
  <dcterms:modified xsi:type="dcterms:W3CDTF">2023-06-25T05:41:00Z</dcterms:modified>
</cp:coreProperties>
</file>